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0DACE">
      <w:pPr>
        <w:spacing w:before="134" w:line="277" w:lineRule="auto"/>
        <w:ind w:left="1926" w:right="289" w:hanging="1605"/>
        <w:outlineLvl w:val="0"/>
        <w:rPr>
          <w:rFonts w:ascii="宋体" w:hAnsi="宋体" w:eastAsia="宋体" w:cs="宋体"/>
          <w:spacing w:val="8"/>
          <w:sz w:val="10"/>
          <w:szCs w:val="10"/>
        </w:rPr>
      </w:pPr>
    </w:p>
    <w:p w14:paraId="1FFAB758">
      <w:pPr>
        <w:spacing w:before="134" w:line="277" w:lineRule="auto"/>
        <w:ind w:left="1926" w:right="289" w:hanging="1605"/>
        <w:outlineLvl w:val="0"/>
        <w:rPr>
          <w:rFonts w:ascii="宋体" w:hAnsi="宋体" w:eastAsia="宋体" w:cs="宋体"/>
          <w:spacing w:val="8"/>
          <w:sz w:val="10"/>
          <w:szCs w:val="10"/>
        </w:rPr>
      </w:pPr>
    </w:p>
    <w:p w14:paraId="4B04B882">
      <w:pPr>
        <w:spacing w:before="134" w:line="277" w:lineRule="auto"/>
        <w:ind w:left="1926" w:right="289" w:hanging="1605"/>
        <w:jc w:val="both"/>
        <w:outlineLvl w:val="0"/>
        <w:rPr>
          <w:rFonts w:ascii="宋体" w:hAnsi="宋体" w:eastAsia="宋体" w:cs="宋体"/>
          <w:b/>
          <w:bCs/>
          <w:spacing w:val="8"/>
          <w:sz w:val="35"/>
          <w:szCs w:val="35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8"/>
          <w:sz w:val="35"/>
          <w:szCs w:val="35"/>
          <w:lang w:val="en-US" w:eastAsia="zh-CN"/>
        </w:rPr>
        <w:t>临泉县妇幼保健院生物刺激反馈仪（便携式）采购项目</w:t>
      </w:r>
      <w:r>
        <w:rPr>
          <w:rFonts w:ascii="宋体" w:hAnsi="宋体" w:eastAsia="宋体" w:cs="宋体"/>
          <w:b/>
          <w:bCs/>
          <w:spacing w:val="8"/>
          <w:sz w:val="35"/>
          <w:szCs w:val="35"/>
        </w:rPr>
        <w:t>排名</w:t>
      </w:r>
      <w:r>
        <w:rPr>
          <w:rFonts w:hint="eastAsia" w:ascii="宋体" w:hAnsi="宋体" w:eastAsia="宋体" w:cs="宋体"/>
          <w:b/>
          <w:bCs/>
          <w:spacing w:val="8"/>
          <w:sz w:val="35"/>
          <w:szCs w:val="35"/>
          <w:lang w:eastAsia="zh-CN"/>
        </w:rPr>
        <w:t>、得分和</w:t>
      </w:r>
      <w:r>
        <w:rPr>
          <w:rFonts w:ascii="宋体" w:hAnsi="宋体" w:eastAsia="宋体" w:cs="宋体"/>
          <w:b/>
          <w:bCs/>
          <w:spacing w:val="8"/>
          <w:sz w:val="35"/>
          <w:szCs w:val="35"/>
        </w:rPr>
        <w:t>资格审查情况</w:t>
      </w:r>
    </w:p>
    <w:bookmarkEnd w:id="0"/>
    <w:p w14:paraId="33F2D5D6">
      <w:pPr>
        <w:spacing w:before="134" w:line="277" w:lineRule="auto"/>
        <w:ind w:left="1926" w:right="289" w:hanging="1605"/>
        <w:outlineLvl w:val="0"/>
        <w:rPr>
          <w:rFonts w:ascii="宋体" w:hAnsi="宋体" w:eastAsia="宋体" w:cs="宋体"/>
          <w:spacing w:val="8"/>
          <w:sz w:val="10"/>
          <w:szCs w:val="10"/>
        </w:rPr>
      </w:pPr>
    </w:p>
    <w:p w14:paraId="36D16ACE">
      <w:pPr>
        <w:spacing w:before="134" w:line="277" w:lineRule="auto"/>
        <w:ind w:left="1926" w:right="289" w:hanging="1605"/>
        <w:outlineLvl w:val="0"/>
        <w:rPr>
          <w:rFonts w:ascii="宋体" w:hAnsi="宋体" w:eastAsia="宋体" w:cs="宋体"/>
          <w:spacing w:val="8"/>
          <w:sz w:val="10"/>
          <w:szCs w:val="10"/>
        </w:rPr>
      </w:pPr>
    </w:p>
    <w:p w14:paraId="4CAC0AD6">
      <w:pPr>
        <w:tabs>
          <w:tab w:val="center" w:pos="4153"/>
        </w:tabs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项目编号：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AHCSZB2024022</w:t>
      </w:r>
    </w:p>
    <w:p w14:paraId="3222A679">
      <w:pPr>
        <w:bidi w:val="0"/>
        <w:rPr>
          <w:lang w:val="en-US" w:eastAsia="en-US"/>
        </w:rPr>
      </w:pPr>
    </w:p>
    <w:tbl>
      <w:tblPr>
        <w:tblStyle w:val="19"/>
        <w:tblW w:w="84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3880"/>
        <w:gridCol w:w="1658"/>
        <w:gridCol w:w="1117"/>
        <w:gridCol w:w="1117"/>
      </w:tblGrid>
      <w:tr w14:paraId="553616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26" w:type="dxa"/>
            <w:vAlign w:val="center"/>
          </w:tcPr>
          <w:p w14:paraId="321FB92D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序号</w:t>
            </w:r>
          </w:p>
        </w:tc>
        <w:tc>
          <w:tcPr>
            <w:tcW w:w="3880" w:type="dxa"/>
            <w:vAlign w:val="center"/>
          </w:tcPr>
          <w:p w14:paraId="40F38E42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单位名称</w:t>
            </w:r>
          </w:p>
        </w:tc>
        <w:tc>
          <w:tcPr>
            <w:tcW w:w="1658" w:type="dxa"/>
            <w:vAlign w:val="center"/>
          </w:tcPr>
          <w:p w14:paraId="7F719B96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单位资格</w:t>
            </w:r>
          </w:p>
          <w:p w14:paraId="2A645397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审查情况</w:t>
            </w:r>
          </w:p>
        </w:tc>
        <w:tc>
          <w:tcPr>
            <w:tcW w:w="1117" w:type="dxa"/>
            <w:vAlign w:val="center"/>
          </w:tcPr>
          <w:p w14:paraId="54E3C850">
            <w:pPr>
              <w:pStyle w:val="20"/>
              <w:spacing w:before="82" w:line="240" w:lineRule="auto"/>
              <w:ind w:left="61" w:leftChars="0"/>
              <w:jc w:val="center"/>
              <w:rPr>
                <w:rFonts w:hint="eastAsia" w:eastAsia="仿宋"/>
                <w:spacing w:val="2"/>
                <w:lang w:eastAsia="zh-CN"/>
              </w:rPr>
            </w:pPr>
            <w:r>
              <w:rPr>
                <w:rFonts w:hint="eastAsia"/>
                <w:spacing w:val="2"/>
                <w:lang w:eastAsia="zh-CN"/>
              </w:rPr>
              <w:t>得分</w:t>
            </w:r>
          </w:p>
        </w:tc>
        <w:tc>
          <w:tcPr>
            <w:tcW w:w="1117" w:type="dxa"/>
            <w:vAlign w:val="center"/>
          </w:tcPr>
          <w:p w14:paraId="67084ECC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排名</w:t>
            </w:r>
          </w:p>
        </w:tc>
      </w:tr>
      <w:tr w14:paraId="1B8602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26" w:type="dxa"/>
            <w:vAlign w:val="center"/>
          </w:tcPr>
          <w:p w14:paraId="652354BA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2AE0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安徽康爱源医疗科技有限公司</w:t>
            </w:r>
          </w:p>
        </w:tc>
        <w:tc>
          <w:tcPr>
            <w:tcW w:w="1658" w:type="dxa"/>
            <w:vAlign w:val="center"/>
          </w:tcPr>
          <w:p w14:paraId="300D0C26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通过</w:t>
            </w:r>
          </w:p>
        </w:tc>
        <w:tc>
          <w:tcPr>
            <w:tcW w:w="1117" w:type="dxa"/>
            <w:vAlign w:val="center"/>
          </w:tcPr>
          <w:p w14:paraId="6FDB4D1D">
            <w:pPr>
              <w:pStyle w:val="20"/>
              <w:spacing w:before="82" w:line="240" w:lineRule="auto"/>
              <w:ind w:left="61" w:leftChars="0"/>
              <w:jc w:val="center"/>
              <w:rPr>
                <w:rFonts w:hint="default" w:eastAsia="仿宋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94</w:t>
            </w:r>
          </w:p>
        </w:tc>
        <w:tc>
          <w:tcPr>
            <w:tcW w:w="1117" w:type="dxa"/>
            <w:vAlign w:val="center"/>
          </w:tcPr>
          <w:p w14:paraId="077473C1">
            <w:pPr>
              <w:pStyle w:val="20"/>
              <w:spacing w:before="82" w:line="240" w:lineRule="auto"/>
              <w:ind w:left="61" w:leftChars="0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1</w:t>
            </w:r>
          </w:p>
        </w:tc>
      </w:tr>
      <w:tr w14:paraId="4B10AC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26" w:type="dxa"/>
            <w:vAlign w:val="center"/>
          </w:tcPr>
          <w:p w14:paraId="32A5E394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5DE3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阜阳市泰然医疗科技有限公司</w:t>
            </w:r>
          </w:p>
        </w:tc>
        <w:tc>
          <w:tcPr>
            <w:tcW w:w="1658" w:type="dxa"/>
            <w:vAlign w:val="center"/>
          </w:tcPr>
          <w:p w14:paraId="53499132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通过</w:t>
            </w:r>
          </w:p>
        </w:tc>
        <w:tc>
          <w:tcPr>
            <w:tcW w:w="1117" w:type="dxa"/>
            <w:vAlign w:val="center"/>
          </w:tcPr>
          <w:p w14:paraId="44ED7024">
            <w:pPr>
              <w:pStyle w:val="20"/>
              <w:spacing w:before="82" w:line="240" w:lineRule="auto"/>
              <w:ind w:left="61" w:leftChars="0"/>
              <w:jc w:val="center"/>
              <w:rPr>
                <w:rFonts w:hint="default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75.60</w:t>
            </w:r>
          </w:p>
        </w:tc>
        <w:tc>
          <w:tcPr>
            <w:tcW w:w="1117" w:type="dxa"/>
            <w:vAlign w:val="center"/>
          </w:tcPr>
          <w:p w14:paraId="042157F0">
            <w:pPr>
              <w:pStyle w:val="20"/>
              <w:spacing w:before="82" w:line="240" w:lineRule="auto"/>
              <w:ind w:left="61" w:leftChars="0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2</w:t>
            </w:r>
          </w:p>
        </w:tc>
      </w:tr>
      <w:tr w14:paraId="00A94B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26" w:type="dxa"/>
            <w:vAlign w:val="center"/>
          </w:tcPr>
          <w:p w14:paraId="44956C57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3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025A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安徽颜元医疗器械有限公司</w:t>
            </w:r>
          </w:p>
        </w:tc>
        <w:tc>
          <w:tcPr>
            <w:tcW w:w="1658" w:type="dxa"/>
            <w:vAlign w:val="center"/>
          </w:tcPr>
          <w:p w14:paraId="2D84B2A6">
            <w:pPr>
              <w:pStyle w:val="20"/>
              <w:spacing w:before="82" w:line="240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通过</w:t>
            </w:r>
          </w:p>
        </w:tc>
        <w:tc>
          <w:tcPr>
            <w:tcW w:w="1117" w:type="dxa"/>
            <w:vAlign w:val="center"/>
          </w:tcPr>
          <w:p w14:paraId="3B7A1852">
            <w:pPr>
              <w:pStyle w:val="20"/>
              <w:spacing w:before="82" w:line="240" w:lineRule="auto"/>
              <w:ind w:left="61" w:leftChars="0"/>
              <w:jc w:val="center"/>
              <w:rPr>
                <w:rFonts w:hint="default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65.72</w:t>
            </w:r>
          </w:p>
        </w:tc>
        <w:tc>
          <w:tcPr>
            <w:tcW w:w="1117" w:type="dxa"/>
            <w:vAlign w:val="center"/>
          </w:tcPr>
          <w:p w14:paraId="5A06FA3E">
            <w:pPr>
              <w:pStyle w:val="20"/>
              <w:spacing w:before="82" w:line="240" w:lineRule="auto"/>
              <w:ind w:left="61" w:leftChars="0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3</w:t>
            </w:r>
          </w:p>
        </w:tc>
      </w:tr>
    </w:tbl>
    <w:p w14:paraId="77B6C65A">
      <w:pPr>
        <w:spacing w:before="192" w:line="220" w:lineRule="auto"/>
        <w:ind w:left="1012"/>
        <w:rPr>
          <w:rFonts w:ascii="仿宋" w:hAnsi="仿宋" w:eastAsia="仿宋" w:cs="仿宋"/>
          <w:spacing w:val="1"/>
          <w:sz w:val="24"/>
          <w:szCs w:val="24"/>
        </w:rPr>
      </w:pPr>
    </w:p>
    <w:p w14:paraId="7EEEA52B">
      <w:pPr>
        <w:spacing w:before="192" w:line="220" w:lineRule="auto"/>
        <w:ind w:left="101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"/>
          <w:sz w:val="24"/>
          <w:szCs w:val="24"/>
        </w:rPr>
        <w:t>本项目共有</w:t>
      </w:r>
      <w:r>
        <w:rPr>
          <w:rFonts w:hint="eastAsia" w:ascii="仿宋" w:hAnsi="仿宋" w:eastAsia="仿宋" w:cs="仿宋"/>
          <w:spacing w:val="1"/>
          <w:sz w:val="24"/>
          <w:szCs w:val="24"/>
          <w:lang w:val="en-US" w:eastAsia="zh-CN"/>
        </w:rPr>
        <w:t>3</w:t>
      </w:r>
      <w:r>
        <w:rPr>
          <w:rFonts w:ascii="仿宋" w:hAnsi="仿宋" w:eastAsia="仿宋" w:cs="仿宋"/>
          <w:spacing w:val="1"/>
          <w:sz w:val="24"/>
          <w:szCs w:val="24"/>
        </w:rPr>
        <w:t>家供应商参加</w:t>
      </w:r>
      <w:r>
        <w:rPr>
          <w:rFonts w:hint="eastAsia" w:ascii="仿宋" w:hAnsi="仿宋" w:eastAsia="仿宋" w:cs="仿宋"/>
          <w:spacing w:val="1"/>
          <w:sz w:val="24"/>
          <w:szCs w:val="24"/>
          <w:lang w:val="en-US" w:eastAsia="zh-CN"/>
        </w:rPr>
        <w:t>竞争性磋商采购</w:t>
      </w:r>
      <w:r>
        <w:rPr>
          <w:rFonts w:ascii="仿宋" w:hAnsi="仿宋" w:eastAsia="仿宋" w:cs="仿宋"/>
          <w:spacing w:val="1"/>
          <w:sz w:val="24"/>
          <w:szCs w:val="24"/>
        </w:rPr>
        <w:t>，均通过初步</w:t>
      </w:r>
      <w:r>
        <w:rPr>
          <w:rFonts w:ascii="仿宋" w:hAnsi="仿宋" w:eastAsia="仿宋" w:cs="仿宋"/>
          <w:sz w:val="24"/>
          <w:szCs w:val="24"/>
        </w:rPr>
        <w:t>评审。</w:t>
      </w:r>
    </w:p>
    <w:sectPr>
      <w:pgSz w:w="11906" w:h="16839"/>
      <w:pgMar w:top="1431" w:right="1524" w:bottom="0" w:left="152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czMTRlZDY3NzEwYzllMGZmYmRjZGMwMGI4MGIxMTUifQ=="/>
  </w:docVars>
  <w:rsids>
    <w:rsidRoot w:val="00000000"/>
    <w:rsid w:val="050723CE"/>
    <w:rsid w:val="06F54D7B"/>
    <w:rsid w:val="08A914FC"/>
    <w:rsid w:val="145B0AD4"/>
    <w:rsid w:val="19A70024"/>
    <w:rsid w:val="1DC365B9"/>
    <w:rsid w:val="229671B2"/>
    <w:rsid w:val="241C17CD"/>
    <w:rsid w:val="2B43016E"/>
    <w:rsid w:val="38AB1FE8"/>
    <w:rsid w:val="38EA7FF7"/>
    <w:rsid w:val="457E261E"/>
    <w:rsid w:val="488D4DB4"/>
    <w:rsid w:val="4A0F1E7E"/>
    <w:rsid w:val="4D447D52"/>
    <w:rsid w:val="51C51AB5"/>
    <w:rsid w:val="5B694896"/>
    <w:rsid w:val="5DE31B3C"/>
    <w:rsid w:val="63EF49BB"/>
    <w:rsid w:val="65E16585"/>
    <w:rsid w:val="67173489"/>
    <w:rsid w:val="6B794BB1"/>
    <w:rsid w:val="791229CF"/>
    <w:rsid w:val="7A0242F8"/>
    <w:rsid w:val="7B76251D"/>
    <w:rsid w:val="7E5F4093"/>
    <w:rsid w:val="7ED14CB7"/>
    <w:rsid w:val="7FC429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100" w:beforeLines="0" w:beforeAutospacing="0" w:after="10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  <w:bdr w:val="single" w:color="D6D6D6" w:sz="4" w:space="0"/>
      <w:shd w:val="clear" w:fill="FFFFFF"/>
    </w:rPr>
  </w:style>
  <w:style w:type="character" w:styleId="8">
    <w:name w:val="FollowedHyperlink"/>
    <w:basedOn w:val="6"/>
    <w:qFormat/>
    <w:uiPriority w:val="0"/>
    <w:rPr>
      <w:color w:val="5C5C5C"/>
      <w:u w:val="none"/>
    </w:rPr>
  </w:style>
  <w:style w:type="character" w:styleId="9">
    <w:name w:val="Emphasis"/>
    <w:basedOn w:val="6"/>
    <w:qFormat/>
    <w:uiPriority w:val="0"/>
    <w:rPr>
      <w:b/>
      <w:bCs/>
    </w:rPr>
  </w:style>
  <w:style w:type="character" w:styleId="10">
    <w:name w:val="HTML Definition"/>
    <w:basedOn w:val="6"/>
    <w:qFormat/>
    <w:uiPriority w:val="0"/>
  </w:style>
  <w:style w:type="character" w:styleId="11">
    <w:name w:val="HTML Typewriter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qFormat/>
    <w:uiPriority w:val="0"/>
  </w:style>
  <w:style w:type="character" w:styleId="13">
    <w:name w:val="HTML Variable"/>
    <w:basedOn w:val="6"/>
    <w:qFormat/>
    <w:uiPriority w:val="0"/>
  </w:style>
  <w:style w:type="character" w:styleId="14">
    <w:name w:val="Hyperlink"/>
    <w:basedOn w:val="6"/>
    <w:qFormat/>
    <w:uiPriority w:val="0"/>
    <w:rPr>
      <w:color w:val="5C5C5C"/>
      <w:u w:val="none"/>
    </w:rPr>
  </w:style>
  <w:style w:type="character" w:styleId="15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qFormat/>
    <w:uiPriority w:val="0"/>
  </w:style>
  <w:style w:type="character" w:styleId="17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qFormat/>
    <w:uiPriority w:val="0"/>
    <w:rPr>
      <w:rFonts w:ascii="monospace" w:hAnsi="monospace" w:eastAsia="monospace" w:cs="monospace"/>
      <w:vanish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character" w:customStyle="1" w:styleId="21">
    <w:name w:val="hover"/>
    <w:basedOn w:val="6"/>
    <w:qFormat/>
    <w:uiPriority w:val="0"/>
    <w:rPr>
      <w:color w:val="2590EB"/>
    </w:rPr>
  </w:style>
  <w:style w:type="character" w:customStyle="1" w:styleId="22">
    <w:name w:val="hover1"/>
    <w:basedOn w:val="6"/>
    <w:qFormat/>
    <w:uiPriority w:val="0"/>
  </w:style>
  <w:style w:type="character" w:customStyle="1" w:styleId="23">
    <w:name w:val="hover2"/>
    <w:basedOn w:val="6"/>
    <w:qFormat/>
    <w:uiPriority w:val="0"/>
    <w:rPr>
      <w:color w:val="2590EB"/>
    </w:rPr>
  </w:style>
  <w:style w:type="character" w:customStyle="1" w:styleId="24">
    <w:name w:val="hover3"/>
    <w:basedOn w:val="6"/>
    <w:qFormat/>
    <w:uiPriority w:val="0"/>
    <w:rPr>
      <w:color w:val="2590EB"/>
      <w:shd w:val="clear" w:fill="E9F4FD"/>
    </w:rPr>
  </w:style>
  <w:style w:type="character" w:customStyle="1" w:styleId="25">
    <w:name w:val="hover4"/>
    <w:basedOn w:val="6"/>
    <w:qFormat/>
    <w:uiPriority w:val="0"/>
    <w:rPr>
      <w:color w:val="2590EB"/>
    </w:rPr>
  </w:style>
  <w:style w:type="character" w:customStyle="1" w:styleId="26">
    <w:name w:val="mini-output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132</Words>
  <Characters>144</Characters>
  <TotalTime>4</TotalTime>
  <ScaleCrop>false</ScaleCrop>
  <LinksUpToDate>false</LinksUpToDate>
  <CharactersWithSpaces>144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2024-08-13T10:08:00Z</dcterms:created>
  <dc:creator>徐雅倩</dc:creator>
  <cp:lastModifiedBy>王彬</cp:lastModifiedBy>
  <dcterms:modified xsi:type="dcterms:W3CDTF">2024-11-18T08:48:37Z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2024-08-23T10:44:33Z</vt:filetime>
  </property>
  <property fmtid="{D5CDD505-2E9C-101B-9397-08002B2CF9AE}" pid="4" name="KSOProductBuildVer">
    <vt:lpwstr>2052-12.1.0.18912</vt:lpwstr>
  </property>
  <property fmtid="{D5CDD505-2E9C-101B-9397-08002B2CF9AE}" pid="5" name="ICV">
    <vt:lpwstr>DA21BFEF127F48F28AE08A4F6700B457_13</vt:lpwstr>
  </property>
</Properties>
</file>